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Black" w:hAnsi="Arial Black"/>
          <w:b/>
          <w:color w:val="7F7F7F" w:themeColor="background1" w:themeShade="80"/>
          <w:sz w:val="24"/>
          <w:szCs w:val="24"/>
          <w:lang w:val="fr-FR"/>
        </w:rPr>
      </w:pPr>
    </w:p>
    <w:p>
      <w:pPr>
        <w:spacing w:after="0" w:line="240" w:lineRule="auto"/>
        <w:jc w:val="center"/>
        <w:rPr>
          <w:rFonts w:ascii="Arial Black" w:hAnsi="Arial Black"/>
          <w:b/>
          <w:color w:val="7F7F7F" w:themeColor="background1" w:themeShade="80"/>
          <w:sz w:val="24"/>
          <w:szCs w:val="24"/>
          <w:lang w:val="fr-FR"/>
        </w:rPr>
      </w:pPr>
    </w:p>
    <w:p>
      <w:pPr>
        <w:spacing w:after="0" w:line="240" w:lineRule="auto"/>
        <w:jc w:val="center"/>
        <w:rPr>
          <w:rFonts w:ascii="Arial Black" w:hAnsi="Arial Black"/>
          <w:b/>
          <w:color w:val="7F7F7F" w:themeColor="background1" w:themeShade="80"/>
          <w:sz w:val="24"/>
          <w:szCs w:val="24"/>
          <w:lang w:val="fr-FR"/>
        </w:rPr>
      </w:pPr>
      <w:r>
        <w:drawing>
          <wp:anchor distT="0" distB="0" distL="114300" distR="114300" simplePos="0" relativeHeight="251659264" behindDoc="0" locked="0" layoutInCell="1" allowOverlap="1">
            <wp:simplePos x="0" y="0"/>
            <wp:positionH relativeFrom="column">
              <wp:posOffset>209550</wp:posOffset>
            </wp:positionH>
            <wp:positionV relativeFrom="paragraph">
              <wp:posOffset>54610</wp:posOffset>
            </wp:positionV>
            <wp:extent cx="694055" cy="779780"/>
            <wp:effectExtent l="0" t="0" r="10795" b="1270"/>
            <wp:wrapNone/>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pic:cNvPicPr>
                      <a:picLocks noChangeAspect="1" noChangeArrowheads="1"/>
                    </pic:cNvPicPr>
                  </pic:nvPicPr>
                  <pic:blipFill>
                    <a:blip r:embed="rId6" cstate="print"/>
                    <a:srcRect/>
                    <a:stretch>
                      <a:fillRect/>
                    </a:stretch>
                  </pic:blipFill>
                  <pic:spPr>
                    <a:xfrm>
                      <a:off x="0" y="0"/>
                      <a:ext cx="694055" cy="779780"/>
                    </a:xfrm>
                    <a:prstGeom prst="rect">
                      <a:avLst/>
                    </a:prstGeom>
                    <a:noFill/>
                  </pic:spPr>
                </pic:pic>
              </a:graphicData>
            </a:graphic>
          </wp:anchor>
        </w:drawing>
      </w:r>
      <w:r>
        <w:rPr>
          <w:rFonts w:ascii="Arial Black" w:hAnsi="Arial Black"/>
          <w:b/>
          <w:color w:val="7F7F7F" w:themeColor="background1" w:themeShade="80"/>
          <w:sz w:val="24"/>
          <w:szCs w:val="24"/>
          <w:lang w:val="fr-FR"/>
        </w:rPr>
        <w:t>Republica Moldova, Raionul Anenii Noi</w:t>
      </w:r>
    </w:p>
    <w:p>
      <w:pPr>
        <w:spacing w:after="0" w:line="240" w:lineRule="auto"/>
        <w:rPr>
          <w:rFonts w:ascii="Times New Roman" w:hAnsi="Times New Roman"/>
          <w:b/>
          <w:sz w:val="44"/>
          <w:szCs w:val="44"/>
          <w:lang w:val="ro-RO"/>
        </w:rPr>
      </w:pPr>
      <w:r>
        <w:rPr>
          <w:rFonts w:ascii="Arial Black" w:hAnsi="Arial Black"/>
          <w:b/>
          <w:sz w:val="52"/>
          <w:szCs w:val="52"/>
          <w:lang w:val="fr-FR"/>
        </w:rPr>
        <w:t xml:space="preserve">           </w:t>
      </w:r>
      <w:r>
        <w:rPr>
          <w:rFonts w:ascii="Arial Black" w:hAnsi="Arial Black"/>
          <w:b/>
          <w:sz w:val="44"/>
          <w:szCs w:val="44"/>
          <w:lang w:val="fr-FR"/>
        </w:rPr>
        <w:t>Consiliul</w:t>
      </w:r>
      <w:r>
        <w:rPr>
          <w:rFonts w:ascii="Arial Black" w:hAnsi="Arial Black"/>
          <w:b/>
          <w:sz w:val="44"/>
          <w:szCs w:val="44"/>
          <w:lang w:val="ro-RO"/>
        </w:rPr>
        <w:t xml:space="preserve"> comunei Ţînţăreni</w:t>
      </w:r>
    </w:p>
    <w:p>
      <w:pPr>
        <w:pStyle w:val="2"/>
        <w:rPr>
          <w:rFonts w:ascii="Arial Black" w:hAnsi="Arial Black"/>
          <w:color w:val="7F7F7F" w:themeColor="background1" w:themeShade="80"/>
          <w:sz w:val="14"/>
          <w:szCs w:val="14"/>
        </w:rPr>
      </w:pPr>
      <w:r>
        <w:rPr>
          <w:sz w:val="18"/>
          <w:szCs w:val="18"/>
        </w:rPr>
        <w:t xml:space="preserve">                       </w:t>
      </w:r>
      <w:r>
        <w:rPr>
          <w:rFonts w:ascii="Arial Black" w:hAnsi="Arial Black"/>
          <w:color w:val="7F7F7F" w:themeColor="background1" w:themeShade="80"/>
          <w:sz w:val="14"/>
          <w:szCs w:val="14"/>
        </w:rPr>
        <w:t xml:space="preserve">MD-6538, Republica Moldova, r-nul. Anenii Noi, com. Ţînţăreni, str. Ştefan cel Mare 2, </w:t>
      </w:r>
    </w:p>
    <w:p>
      <w:pPr>
        <w:rPr>
          <w:rFonts w:ascii="Arial Black" w:hAnsi="Arial Black"/>
          <w:b/>
          <w:color w:val="7F7F7F" w:themeColor="background1" w:themeShade="80"/>
          <w:sz w:val="14"/>
          <w:szCs w:val="14"/>
          <w:lang w:val="ro-RO"/>
        </w:rPr>
      </w:pPr>
      <w: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220980</wp:posOffset>
                </wp:positionV>
                <wp:extent cx="5843905" cy="45085"/>
                <wp:effectExtent l="0" t="12700" r="4445" b="18415"/>
                <wp:wrapNone/>
                <wp:docPr id="3" name="Группа 3"/>
                <wp:cNvGraphicFramePr/>
                <a:graphic xmlns:a="http://schemas.openxmlformats.org/drawingml/2006/main">
                  <a:graphicData uri="http://schemas.microsoft.com/office/word/2010/wordprocessingGroup">
                    <wpg:wgp>
                      <wpg:cNvGrpSpPr/>
                      <wpg:grpSpPr>
                        <a:xfrm>
                          <a:off x="0" y="0"/>
                          <a:ext cx="5843905" cy="45085"/>
                          <a:chOff x="1874" y="3266"/>
                          <a:chExt cx="9203" cy="102"/>
                        </a:xfrm>
                        <a:effectLst/>
                      </wpg:grpSpPr>
                      <wps:wsp>
                        <wps:cNvPr id="1" name="Прямая со стрелкой 1"/>
                        <wps:cNvCnPr/>
                        <wps:spPr>
                          <a:xfrm>
                            <a:off x="1877" y="3368"/>
                            <a:ext cx="9197" cy="0"/>
                          </a:xfrm>
                          <a:prstGeom prst="straightConnector1">
                            <a:avLst/>
                          </a:prstGeom>
                          <a:ln w="25400" cap="flat" cmpd="sng">
                            <a:solidFill>
                              <a:srgbClr val="0000CC"/>
                            </a:solidFill>
                            <a:prstDash val="solid"/>
                            <a:headEnd type="none" w="med" len="med"/>
                            <a:tailEnd type="none" w="med" len="med"/>
                          </a:ln>
                          <a:effectLst/>
                        </wps:spPr>
                        <wps:bodyPr/>
                      </wps:wsp>
                      <wps:wsp>
                        <wps:cNvPr id="2" name="Прямая со стрелкой 2"/>
                        <wps:cNvCnPr/>
                        <wps:spPr>
                          <a:xfrm>
                            <a:off x="1877" y="3319"/>
                            <a:ext cx="9200" cy="0"/>
                          </a:xfrm>
                          <a:prstGeom prst="straightConnector1">
                            <a:avLst/>
                          </a:prstGeom>
                          <a:ln w="25400" cap="flat" cmpd="sng">
                            <a:solidFill>
                              <a:srgbClr val="FFFF66"/>
                            </a:solidFill>
                            <a:prstDash val="solid"/>
                            <a:headEnd type="none" w="med" len="med"/>
                            <a:tailEnd type="none" w="med" len="med"/>
                          </a:ln>
                          <a:effectLst/>
                        </wps:spPr>
                        <wps:bodyPr/>
                      </wps:wsp>
                      <wps:wsp>
                        <wps:cNvPr id="5" name="Прямая со стрелкой 3"/>
                        <wps:cNvCnPr/>
                        <wps:spPr>
                          <a:xfrm>
                            <a:off x="1874" y="3266"/>
                            <a:ext cx="9200" cy="1"/>
                          </a:xfrm>
                          <a:prstGeom prst="straightConnector1">
                            <a:avLst/>
                          </a:prstGeom>
                          <a:ln w="25400" cap="flat" cmpd="sng">
                            <a:solidFill>
                              <a:srgbClr val="FF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1.5pt;margin-top:17.4pt;height:3.55pt;width:460.15pt;z-index:251660288;mso-width-relative:page;mso-height-relative:page;" coordorigin="1874,3266" coordsize="9203,102" o:gfxdata="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Mqc6uHZAAAACAEAAA8AAAAAAAAAAQAgAAAAIgAAAGRycy9kb3ducmV2&#10;LnhtbFBLAQIUABQAAAAIAIdO4kD0Y8CI3wIAAKcJAAAOAAAAAAAAAAEAIAAAACgBAABkcnMvZTJv&#10;RG9jLnhtbFBLBQYAAAAABgAGAFkBAAB5BgAAAAA=&#10;">
                <o:lock v:ext="edit" aspectratio="f"/>
                <v:shape id="_x0000_s1026" o:spid="_x0000_s1026" o:spt="32" type="#_x0000_t32" style="position:absolute;left:1877;top:3368;height:0;width:9197;" filled="f" stroked="t" coordsize="21600,21600" o:gfxdata="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g9Eu8AAAA&#10;2gAAAA8AAAAAAAAAAQAgAAAAIgAAAGRycy9kb3ducmV2LnhtbFBLAQIUABQAAAAIAIdO4kAzLwWe&#10;OwAAADkAAAAQAAAAAAAAAAEAIAAAAAsBAABkcnMvc2hhcGV4bWwueG1sUEsFBgAAAAAGAAYAWwEA&#10;ALUDAAAAAA==&#10;">
                  <v:fill on="f" focussize="0,0"/>
                  <v:stroke weight="2pt" color="#0000CC" joinstyle="round"/>
                  <v:imagedata o:title=""/>
                  <o:lock v:ext="edit" aspectratio="f"/>
                </v:shape>
                <v:shape id="_x0000_s1026" o:spid="_x0000_s1026" o:spt="32" type="#_x0000_t32" style="position:absolute;left:1877;top:3319;height:0;width:9200;" filled="f" stroked="t" coordsize="21600,21600" o:gfxdata="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lVq8AAAA&#10;2gAAAA8AAAAAAAAAAQAgAAAAIgAAAGRycy9kb3ducmV2LnhtbFBLAQIUABQAAAAIAIdO4kAzLwWe&#10;OwAAADkAAAAQAAAAAAAAAAEAIAAAAAsBAABkcnMvc2hhcGV4bWwueG1sUEsFBgAAAAAGAAYAWwEA&#10;ALUDAAAAAA==&#10;">
                  <v:fill on="f" focussize="0,0"/>
                  <v:stroke weight="2pt" color="#FFFF66" joinstyle="round"/>
                  <v:imagedata o:title=""/>
                  <o:lock v:ext="edit" aspectratio="f"/>
                </v:shape>
                <v:shape id="Прямая со стрелкой 3" o:spid="_x0000_s1026" o:spt="32" type="#_x0000_t32" style="position:absolute;left:1874;top:3266;height:1;width:9200;" filled="f" stroked="t" coordsize="21600,21600" o:gfxdata="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5I+W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shape>
              </v:group>
            </w:pict>
          </mc:Fallback>
        </mc:AlternateContent>
      </w:r>
      <w:r>
        <w:rPr>
          <w:rFonts w:ascii="Arial Black" w:hAnsi="Arial Black" w:eastAsia="Times New Roman"/>
          <w:b/>
          <w:color w:val="7F7F7F" w:themeColor="background1" w:themeShade="80"/>
          <w:sz w:val="14"/>
          <w:szCs w:val="14"/>
          <w:lang w:val="ro-RO"/>
        </w:rPr>
        <w:t xml:space="preserve">                                                                    tel/fax: 0-265-33348; e-mail: primtintareni@yahoo.com</w:t>
      </w:r>
    </w:p>
    <w:p>
      <w:pPr>
        <w:jc w:val="right"/>
        <w:rPr>
          <w:rFonts w:ascii="Times New Roman" w:hAnsi="Times New Roman" w:cs="Times New Roman"/>
          <w:b/>
          <w:sz w:val="24"/>
          <w:szCs w:val="24"/>
          <w:lang w:val="en-US"/>
        </w:rPr>
      </w:pPr>
      <w:r>
        <w:rPr>
          <w:rFonts w:ascii="Times New Roman" w:hAnsi="Times New Roman" w:cs="Times New Roman"/>
          <w:sz w:val="28"/>
          <w:szCs w:val="28"/>
          <w:lang w:val="ro-RO"/>
        </w:rPr>
        <w:t xml:space="preserve">PROIECT   </w:t>
      </w:r>
      <w:r>
        <w:rPr>
          <w:rFonts w:ascii="Times New Roman" w:hAnsi="Times New Roman" w:cs="Times New Roman"/>
          <w:b/>
          <w:sz w:val="24"/>
          <w:szCs w:val="24"/>
          <w:lang w:val="en-US"/>
        </w:rPr>
        <w:tab/>
      </w:r>
    </w:p>
    <w:p>
      <w:pPr>
        <w:tabs>
          <w:tab w:val="center" w:pos="4677"/>
          <w:tab w:val="left" w:pos="7122"/>
          <w:tab w:val="left" w:pos="8040"/>
        </w:tabs>
        <w:rPr>
          <w:rFonts w:ascii="Times New Roman" w:hAnsi="Times New Roman" w:cs="Times New Roman"/>
          <w:b/>
          <w:sz w:val="24"/>
          <w:szCs w:val="24"/>
          <w:lang w:val="ro-RO"/>
        </w:rPr>
      </w:pPr>
      <w:r>
        <w:rPr>
          <w:rFonts w:ascii="Times New Roman" w:hAnsi="Times New Roman" w:cs="Times New Roman"/>
          <w:b/>
          <w:sz w:val="24"/>
          <w:szCs w:val="24"/>
          <w:lang w:val="en-US"/>
        </w:rPr>
        <w:tab/>
      </w:r>
      <w:r>
        <w:rPr>
          <w:rFonts w:ascii="Times New Roman" w:hAnsi="Times New Roman" w:cs="Times New Roman"/>
          <w:b/>
          <w:sz w:val="24"/>
          <w:szCs w:val="24"/>
          <w:lang w:val="en-US"/>
        </w:rPr>
        <w:t xml:space="preserve">Decizie nr. </w:t>
      </w:r>
      <w:r>
        <w:rPr>
          <w:rFonts w:ascii="Times New Roman" w:hAnsi="Times New Roman" w:cs="Times New Roman"/>
          <w:b/>
          <w:sz w:val="24"/>
          <w:szCs w:val="24"/>
          <w:lang w:val="ro-RO"/>
        </w:rPr>
        <w:t>___</w:t>
      </w:r>
      <w:r>
        <w:rPr>
          <w:rFonts w:ascii="Times New Roman" w:hAnsi="Times New Roman" w:cs="Times New Roman"/>
          <w:b/>
          <w:sz w:val="24"/>
          <w:szCs w:val="24"/>
          <w:lang w:val="ro-RO"/>
        </w:rPr>
        <w:tab/>
      </w:r>
      <w:r>
        <w:rPr>
          <w:rFonts w:ascii="Times New Roman" w:hAnsi="Times New Roman" w:cs="Times New Roman"/>
          <w:b/>
          <w:sz w:val="24"/>
          <w:szCs w:val="24"/>
          <w:lang w:val="ro-RO"/>
        </w:rPr>
        <w:tab/>
      </w:r>
    </w:p>
    <w:p>
      <w:pPr>
        <w:tabs>
          <w:tab w:val="left" w:pos="7122"/>
        </w:tabs>
        <w:jc w:val="center"/>
        <w:rPr>
          <w:rFonts w:ascii="Times New Roman" w:hAnsi="Times New Roman" w:cs="Times New Roman"/>
          <w:b/>
          <w:sz w:val="24"/>
          <w:szCs w:val="24"/>
          <w:lang w:val="ro-RO"/>
        </w:rPr>
      </w:pPr>
      <w:r>
        <w:rPr>
          <w:rFonts w:ascii="Times New Roman" w:hAnsi="Times New Roman" w:cs="Times New Roman"/>
          <w:b/>
          <w:sz w:val="24"/>
          <w:szCs w:val="24"/>
          <w:lang w:val="en-US"/>
        </w:rPr>
        <w:t xml:space="preserve">din </w:t>
      </w:r>
      <w:r>
        <w:rPr>
          <w:rFonts w:ascii="Times New Roman" w:hAnsi="Times New Roman" w:cs="Times New Roman"/>
          <w:b/>
          <w:sz w:val="24"/>
          <w:szCs w:val="24"/>
          <w:lang w:val="ro-RO"/>
        </w:rPr>
        <w:t>__________</w:t>
      </w:r>
      <w:r>
        <w:rPr>
          <w:rFonts w:ascii="Times New Roman" w:hAnsi="Times New Roman" w:cs="Times New Roman"/>
          <w:b/>
          <w:sz w:val="24"/>
          <w:szCs w:val="24"/>
          <w:lang w:val="en-US"/>
        </w:rPr>
        <w:t xml:space="preserve"> 202</w:t>
      </w:r>
      <w:r>
        <w:rPr>
          <w:rFonts w:ascii="Times New Roman" w:hAnsi="Times New Roman" w:cs="Times New Roman"/>
          <w:b/>
          <w:sz w:val="24"/>
          <w:szCs w:val="24"/>
          <w:lang w:val="ro-RO"/>
        </w:rPr>
        <w:t>1</w:t>
      </w:r>
    </w:p>
    <w:p>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„Cu privire la stabilirea taxelor concrete a impozitului funciar</w:t>
      </w:r>
    </w:p>
    <w:p>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și pe bunurile imobiliare pe teritoriul com. Țînțăreni pentru anul 2022”</w:t>
      </w:r>
    </w:p>
    <w:p>
      <w:pPr>
        <w:tabs>
          <w:tab w:val="left" w:pos="895"/>
        </w:tabs>
        <w:rPr>
          <w:lang w:val="ro-RO"/>
        </w:rPr>
      </w:pPr>
    </w:p>
    <w:p>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eastAsia="Times New Roman" w:cs="Times New Roman"/>
          <w:sz w:val="24"/>
          <w:szCs w:val="24"/>
          <w:lang w:val="ro-RO"/>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Pr>
          <w:rFonts w:ascii="Times New Roman" w:hAnsi="Times New Roman" w:eastAsia="Times New Roman" w:cs="Times New Roman"/>
          <w:sz w:val="24"/>
          <w:szCs w:val="24"/>
          <w:lang w:val="en-US"/>
        </w:rPr>
        <w:t>,</w:t>
      </w:r>
      <w:r>
        <w:rPr>
          <w:rFonts w:ascii="Times New Roman" w:hAnsi="Times New Roman" w:eastAsia="Times New Roman" w:cs="Times New Roman"/>
          <w:b/>
          <w:sz w:val="24"/>
          <w:szCs w:val="24"/>
          <w:lang w:val="ro-RO"/>
        </w:rPr>
        <w:t xml:space="preserve"> </w:t>
      </w:r>
      <w:r>
        <w:rPr>
          <w:rFonts w:ascii="Times New Roman" w:hAnsi="Times New Roman" w:cs="Times New Roman"/>
          <w:sz w:val="24"/>
          <w:szCs w:val="24"/>
          <w:lang w:val="ro-RO"/>
        </w:rPr>
        <w:t>avizul Comisiei pentru econimie, finanțe, buget, juridică</w:t>
      </w:r>
      <w:r>
        <w:rPr>
          <w:rFonts w:ascii="Times New Roman" w:hAnsi="Times New Roman" w:cs="Times New Roman"/>
          <w:b/>
          <w:sz w:val="24"/>
          <w:szCs w:val="24"/>
          <w:lang w:val="ro-RO"/>
        </w:rPr>
        <w:t xml:space="preserve">, </w:t>
      </w:r>
      <w:r>
        <w:rPr>
          <w:rFonts w:ascii="Times New Roman" w:hAnsi="Times New Roman" w:eastAsia="Times New Roman" w:cs="Times New Roman"/>
          <w:sz w:val="24"/>
          <w:szCs w:val="24"/>
          <w:lang w:val="ro-RO"/>
        </w:rPr>
        <w:t xml:space="preserve">Consiliul </w:t>
      </w:r>
      <w:r>
        <w:rPr>
          <w:rFonts w:ascii="Times New Roman" w:hAnsi="Times New Roman" w:cs="Times New Roman"/>
          <w:sz w:val="24"/>
          <w:szCs w:val="24"/>
          <w:lang w:val="ro-RO"/>
        </w:rPr>
        <w:t>comunal Țînțăreni,</w:t>
      </w:r>
    </w:p>
    <w:p>
      <w:pPr>
        <w:jc w:val="center"/>
        <w:rPr>
          <w:rFonts w:ascii="Times New Roman" w:hAnsi="Times New Roman" w:cs="Times New Roman"/>
          <w:b/>
          <w:sz w:val="24"/>
          <w:szCs w:val="24"/>
          <w:lang w:val="ro-RO"/>
        </w:rPr>
      </w:pPr>
      <w:r>
        <w:rPr>
          <w:rFonts w:ascii="Times New Roman" w:hAnsi="Times New Roman" w:cs="Times New Roman"/>
          <w:b/>
          <w:sz w:val="24"/>
          <w:szCs w:val="24"/>
          <w:lang w:val="ro-RO"/>
        </w:rPr>
        <w:t>DECIDE :</w:t>
      </w:r>
    </w:p>
    <w:p>
      <w:pPr>
        <w:rPr>
          <w:rFonts w:ascii="Times New Roman" w:hAnsi="Times New Roman" w:cs="Times New Roman"/>
          <w:sz w:val="24"/>
          <w:szCs w:val="24"/>
          <w:lang w:val="ro-RO"/>
        </w:rPr>
      </w:pPr>
      <w:r>
        <w:rPr>
          <w:rFonts w:ascii="Times New Roman" w:hAnsi="Times New Roman" w:cs="Times New Roman"/>
          <w:sz w:val="24"/>
          <w:szCs w:val="24"/>
          <w:lang w:val="ro-RO"/>
        </w:rPr>
        <w:t xml:space="preserve">1.Se </w:t>
      </w:r>
      <w:r>
        <w:rPr>
          <w:rFonts w:ascii="Times New Roman" w:hAnsi="Times New Roman" w:eastAsia="Times New Roman" w:cs="Times New Roman"/>
          <w:sz w:val="24"/>
          <w:szCs w:val="24"/>
          <w:lang w:val="ro-RO"/>
        </w:rPr>
        <w:t>aprobă cotele concrete la impozitul  funciar  și la impozitul pe bunurile imobiliare</w:t>
      </w:r>
      <w:r>
        <w:rPr>
          <w:rFonts w:ascii="Times New Roman" w:hAnsi="Times New Roman" w:cs="Times New Roman"/>
          <w:sz w:val="24"/>
          <w:szCs w:val="24"/>
          <w:lang w:val="ro-RO"/>
        </w:rPr>
        <w:t>, conform  Anexei  1;</w:t>
      </w:r>
    </w:p>
    <w:p>
      <w:pPr>
        <w:rPr>
          <w:rFonts w:ascii="Times New Roman" w:hAnsi="Times New Roman" w:cs="Times New Roman"/>
          <w:sz w:val="24"/>
          <w:szCs w:val="24"/>
          <w:lang w:val="ro-RO"/>
        </w:rPr>
      </w:pPr>
      <w:r>
        <w:rPr>
          <w:rFonts w:hint="default" w:ascii="Times New Roman" w:hAnsi="Times New Roman" w:cs="Times New Roman"/>
          <w:sz w:val="24"/>
          <w:szCs w:val="24"/>
          <w:lang w:val="ro-RO"/>
        </w:rPr>
        <w:t>2</w:t>
      </w:r>
      <w:r>
        <w:rPr>
          <w:rFonts w:ascii="Times New Roman" w:hAnsi="Times New Roman" w:cs="Times New Roman"/>
          <w:sz w:val="24"/>
          <w:szCs w:val="24"/>
          <w:lang w:val="ro-RO"/>
        </w:rPr>
        <w:t>.Executarea prezentei decizii se atribuie specialistului Indoitu Tatiana;</w:t>
      </w:r>
    </w:p>
    <w:p>
      <w:pPr>
        <w:rPr>
          <w:rFonts w:ascii="Times New Roman" w:hAnsi="Times New Roman" w:cs="Times New Roman"/>
          <w:sz w:val="24"/>
          <w:szCs w:val="24"/>
          <w:lang w:val="ro-RO"/>
        </w:rPr>
      </w:pPr>
      <w:r>
        <w:rPr>
          <w:rFonts w:hint="default" w:ascii="Times New Roman" w:hAnsi="Times New Roman" w:cs="Times New Roman"/>
          <w:sz w:val="24"/>
          <w:szCs w:val="24"/>
          <w:lang w:val="ro-RO"/>
        </w:rPr>
        <w:t>3</w:t>
      </w:r>
      <w:r>
        <w:rPr>
          <w:rFonts w:ascii="Times New Roman" w:hAnsi="Times New Roman" w:cs="Times New Roman"/>
          <w:sz w:val="24"/>
          <w:szCs w:val="24"/>
          <w:lang w:val="ro-RO"/>
        </w:rPr>
        <w:t>. Prezenta decizie se remite Serviciului  Fiscal  Teritorial Anenii Noi în termen de 10 zile din data adoptării de către specialistul Indoitu Tatiana ;</w:t>
      </w:r>
    </w:p>
    <w:p>
      <w:pPr>
        <w:rPr>
          <w:rFonts w:ascii="Times New Roman" w:hAnsi="Times New Roman" w:cs="Times New Roman"/>
          <w:b/>
          <w:lang w:val="ro-RO"/>
        </w:rPr>
      </w:pPr>
      <w:r>
        <w:rPr>
          <w:rFonts w:hint="default" w:ascii="Times New Roman" w:hAnsi="Times New Roman" w:cs="Times New Roman"/>
          <w:sz w:val="24"/>
          <w:szCs w:val="24"/>
          <w:lang w:val="ro-RO"/>
        </w:rPr>
        <w:t>4</w:t>
      </w:r>
      <w:r>
        <w:rPr>
          <w:rFonts w:ascii="Times New Roman" w:hAnsi="Times New Roman" w:cs="Times New Roman"/>
          <w:sz w:val="24"/>
          <w:szCs w:val="24"/>
          <w:lang w:val="ro-RO"/>
        </w:rPr>
        <w:t>. Controlul executării prezentei decizii se atribuie primarului com.Țînțăreni, dl. Bulgaru Vadim.</w:t>
      </w:r>
    </w:p>
    <w:p>
      <w:pPr>
        <w:rPr>
          <w:rFonts w:ascii="Times New Roman" w:hAnsi="Times New Roman" w:eastAsia="Times New Roman" w:cs="Times New Roman"/>
          <w:b/>
          <w:sz w:val="24"/>
          <w:szCs w:val="24"/>
          <w:lang w:val="ro-RO"/>
        </w:rPr>
      </w:pPr>
    </w:p>
    <w:p>
      <w:pPr>
        <w:rPr>
          <w:rFonts w:ascii="Times New Roman" w:hAnsi="Times New Roman" w:cs="Times New Roman"/>
          <w:lang w:val="ro-RO"/>
        </w:rPr>
      </w:pPr>
      <w:r>
        <w:rPr>
          <w:rFonts w:ascii="Times New Roman" w:hAnsi="Times New Roman" w:cs="Times New Roman"/>
          <w:lang w:val="ro-RO"/>
        </w:rPr>
        <w:t xml:space="preserve">       </w:t>
      </w:r>
    </w:p>
    <w:p>
      <w:pPr>
        <w:ind w:firstLine="440" w:firstLineChars="200"/>
        <w:rPr>
          <w:rFonts w:ascii="Times New Roman" w:hAnsi="Times New Roman" w:cs="Times New Roman"/>
          <w:lang w:val="ro-RO"/>
        </w:rPr>
      </w:pPr>
      <w:r>
        <w:rPr>
          <w:rFonts w:ascii="Times New Roman" w:hAnsi="Times New Roman" w:cs="Times New Roman"/>
          <w:lang w:val="ro-RO"/>
        </w:rPr>
        <w:t xml:space="preserve">    Președintele ședinței             </w:t>
      </w:r>
      <w:r>
        <w:rPr>
          <w:rFonts w:ascii="Times New Roman" w:hAnsi="Times New Roman" w:cs="Times New Roman"/>
          <w:u w:val="single"/>
          <w:lang w:val="ro-RO"/>
        </w:rPr>
        <w:t xml:space="preserve">                                                </w:t>
      </w:r>
      <w:r>
        <w:rPr>
          <w:rFonts w:ascii="Times New Roman" w:hAnsi="Times New Roman" w:cs="Times New Roman"/>
          <w:lang w:val="ro-RO"/>
        </w:rPr>
        <w:t xml:space="preserve">      </w:t>
      </w:r>
    </w:p>
    <w:p>
      <w:pPr>
        <w:pStyle w:val="8"/>
        <w:rPr>
          <w:rFonts w:ascii="Times New Roman" w:hAnsi="Times New Roman" w:cs="Times New Roman"/>
          <w:lang w:val="ro-RO"/>
        </w:rPr>
      </w:pPr>
      <w:r>
        <w:rPr>
          <w:rFonts w:ascii="Times New Roman" w:hAnsi="Times New Roman" w:cs="Times New Roman"/>
          <w:lang w:val="ro-RO"/>
        </w:rPr>
        <w:t xml:space="preserve">           Contrasemnat,    </w:t>
      </w:r>
    </w:p>
    <w:p>
      <w:pPr>
        <w:pStyle w:val="8"/>
        <w:rPr>
          <w:rFonts w:ascii="Times New Roman" w:hAnsi="Times New Roman" w:cs="Times New Roman"/>
          <w:lang w:val="ro-RO"/>
        </w:rPr>
      </w:pPr>
      <w:r>
        <w:rPr>
          <w:rFonts w:ascii="Times New Roman" w:hAnsi="Times New Roman" w:cs="Times New Roman"/>
          <w:lang w:val="ro-RO"/>
        </w:rPr>
        <w:t xml:space="preserve">           Secretarul  consiliului</w:t>
      </w:r>
      <w:r>
        <w:rPr>
          <w:rFonts w:ascii="Times New Roman" w:hAnsi="Times New Roman" w:cs="Times New Roman"/>
          <w:lang w:val="ro-RO"/>
        </w:rPr>
        <w:tab/>
      </w:r>
      <w:r>
        <w:rPr>
          <w:rFonts w:ascii="Times New Roman" w:hAnsi="Times New Roman" w:cs="Times New Roman"/>
          <w:lang w:val="ro-RO"/>
        </w:rPr>
        <w:t xml:space="preserve">      </w:t>
      </w:r>
      <w:r>
        <w:rPr>
          <w:rFonts w:ascii="Times New Roman" w:hAnsi="Times New Roman" w:cs="Times New Roman"/>
          <w:u w:val="single"/>
          <w:lang w:val="ro-RO"/>
        </w:rPr>
        <w:t xml:space="preserve">                                         ___ </w:t>
      </w:r>
      <w:r>
        <w:rPr>
          <w:rFonts w:ascii="Times New Roman" w:hAnsi="Times New Roman" w:cs="Times New Roman"/>
          <w:lang w:val="ro-RO"/>
        </w:rPr>
        <w:t xml:space="preserve">       Moroi  Tatiana</w:t>
      </w:r>
    </w:p>
    <w:p>
      <w:pPr>
        <w:pStyle w:val="8"/>
        <w:jc w:val="right"/>
        <w:rPr>
          <w:rFonts w:ascii="Times New Roman" w:hAnsi="Times New Roman" w:cs="Times New Roman"/>
          <w:b/>
          <w:lang w:val="ro-RO"/>
        </w:rPr>
      </w:pPr>
      <w:r>
        <w:rPr>
          <w:b/>
          <w:lang w:val="ro-RO"/>
        </w:rPr>
        <w:br w:type="page"/>
      </w:r>
      <w:r>
        <w:rPr>
          <w:rFonts w:ascii="Times New Roman" w:hAnsi="Times New Roman" w:cs="Times New Roman"/>
          <w:lang w:val="ro-RO"/>
        </w:rPr>
        <w:t>Anexa nr.1</w:t>
      </w:r>
    </w:p>
    <w:p>
      <w:pPr>
        <w:pStyle w:val="8"/>
        <w:jc w:val="right"/>
        <w:rPr>
          <w:rFonts w:ascii="Times New Roman" w:hAnsi="Times New Roman" w:cs="Times New Roman"/>
          <w:lang w:val="ro-RO"/>
        </w:rPr>
      </w:pPr>
      <w:r>
        <w:rPr>
          <w:rFonts w:ascii="Times New Roman" w:hAnsi="Times New Roman" w:cs="Times New Roman"/>
          <w:lang w:val="ro-RO"/>
        </w:rPr>
        <w:t>La  Decizia Consiliului com. Țînțăreni nr. ____</w:t>
      </w:r>
      <w:r>
        <w:rPr>
          <w:rFonts w:ascii="Times New Roman" w:hAnsi="Times New Roman" w:cs="Times New Roman"/>
          <w:b/>
          <w:lang w:val="ro-RO"/>
        </w:rPr>
        <w:t xml:space="preserve"> </w:t>
      </w:r>
      <w:r>
        <w:rPr>
          <w:rFonts w:ascii="Times New Roman" w:hAnsi="Times New Roman" w:cs="Times New Roman"/>
          <w:lang w:val="ro-RO"/>
        </w:rPr>
        <w:t xml:space="preserve">  </w:t>
      </w:r>
    </w:p>
    <w:p>
      <w:pPr>
        <w:pStyle w:val="8"/>
        <w:jc w:val="right"/>
        <w:rPr>
          <w:rFonts w:ascii="Times New Roman" w:hAnsi="Times New Roman" w:cs="Times New Roman"/>
          <w:b/>
          <w:lang w:val="ro-RO"/>
        </w:rPr>
      </w:pPr>
      <w:r>
        <w:rPr>
          <w:rFonts w:ascii="Times New Roman" w:hAnsi="Times New Roman" w:cs="Times New Roman"/>
          <w:lang w:val="ro-RO"/>
        </w:rPr>
        <w:t>Din _______________  2021</w:t>
      </w:r>
      <w:r>
        <w:rPr>
          <w:rFonts w:ascii="Times New Roman" w:hAnsi="Times New Roman" w:cs="Times New Roman"/>
          <w:b/>
          <w:lang w:val="ro-RO"/>
        </w:rPr>
        <w:t xml:space="preserve"> </w:t>
      </w:r>
    </w:p>
    <w:p>
      <w:pPr>
        <w:framePr w:hSpace="180" w:wrap="around" w:vAnchor="text" w:hAnchor="margin" w:x="67" w:y="240"/>
        <w:ind w:left="-440" w:leftChars="-200" w:firstLine="439" w:firstLineChars="183"/>
        <w:jc w:val="center"/>
        <w:rPr>
          <w:rFonts w:ascii="Times New Roman" w:hAnsi="Times New Roman" w:eastAsia="Times New Roman" w:cs="Times New Roman"/>
          <w:b/>
          <w:sz w:val="24"/>
          <w:szCs w:val="24"/>
          <w:lang w:val="ro-RO"/>
        </w:rPr>
      </w:pPr>
      <w:r>
        <w:rPr>
          <w:rFonts w:ascii="Times New Roman" w:hAnsi="Times New Roman" w:eastAsia="Times New Roman" w:cs="Times New Roman"/>
          <w:b/>
          <w:sz w:val="24"/>
          <w:szCs w:val="24"/>
          <w:lang w:val="ro-RO"/>
        </w:rPr>
        <w:t>Cotele concrete la impozitul funciar</w:t>
      </w:r>
    </w:p>
    <w:p>
      <w:pPr>
        <w:framePr w:hSpace="180" w:wrap="around" w:vAnchor="text" w:hAnchor="margin" w:x="67" w:y="240"/>
        <w:jc w:val="center"/>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pentru terenurile neevaluate de către organele cadastrale în scopul impozitării</w:t>
      </w:r>
    </w:p>
    <w:p>
      <w:pPr>
        <w:pStyle w:val="6"/>
        <w:rPr>
          <w:i/>
          <w:lang w:eastAsia="ru-RU"/>
        </w:rPr>
      </w:pPr>
      <w:r>
        <w:rPr>
          <w:i/>
          <w:lang w:eastAsia="ru-RU"/>
        </w:rPr>
        <w:t>(conform  Anexei nr. 1</w:t>
      </w:r>
      <w:r>
        <w:rPr>
          <w:i/>
          <w:lang w:val="en-US" w:eastAsia="ru-RU"/>
        </w:rPr>
        <w:t xml:space="preserve"> </w:t>
      </w:r>
      <w:r>
        <w:rPr>
          <w:i/>
          <w:lang w:eastAsia="ru-RU"/>
        </w:rPr>
        <w:t>la Legea pentru punerea în aplicare a titlului VI din Codul fiscal nr.1056 din 16.06.2000)</w:t>
      </w:r>
    </w:p>
    <w:p>
      <w:pPr>
        <w:pStyle w:val="6"/>
      </w:pPr>
      <w:r>
        <w:rPr>
          <w:b/>
          <w:bCs/>
        </w:rPr>
        <w:t>1.</w:t>
      </w:r>
      <w:r>
        <w:t xml:space="preserve"> Terenurile cu destinaţie agricolă: </w:t>
      </w:r>
    </w:p>
    <w:p>
      <w:pPr>
        <w:pStyle w:val="6"/>
      </w:pPr>
      <w:r>
        <w:t xml:space="preserve">a) toate terenurile, altele decît cele destinate fîneţelor şi păşunilor: </w:t>
      </w:r>
    </w:p>
    <w:p>
      <w:pPr>
        <w:pStyle w:val="6"/>
      </w:pPr>
      <w:r>
        <w:t xml:space="preserve">- care au indici cadastrali – 1,5 lei pentru 1 grad-hectar; </w:t>
      </w:r>
    </w:p>
    <w:p>
      <w:pPr>
        <w:pStyle w:val="6"/>
      </w:pPr>
      <w:r>
        <w:t xml:space="preserve">- care nu au indici cadastrali – 110 lei pentru 1 hectar; </w:t>
      </w:r>
    </w:p>
    <w:p>
      <w:pPr>
        <w:pStyle w:val="6"/>
      </w:pPr>
      <w:r>
        <w:t xml:space="preserve">b) terenurile destinate fîneţelor şi păşunilor: </w:t>
      </w:r>
    </w:p>
    <w:p>
      <w:pPr>
        <w:pStyle w:val="6"/>
      </w:pPr>
      <w:r>
        <w:t xml:space="preserve">- care au indici cadastrali – 0,75 lei pentru 1 grad-hectar; </w:t>
      </w:r>
    </w:p>
    <w:p>
      <w:pPr>
        <w:pStyle w:val="6"/>
      </w:pPr>
      <w:r>
        <w:t xml:space="preserve">- care nu au indici cadastrali – 55 lei pentru 1 hectar; </w:t>
      </w:r>
    </w:p>
    <w:p>
      <w:pPr>
        <w:pStyle w:val="6"/>
      </w:pPr>
      <w:r>
        <w:t xml:space="preserve">c) terenurile ocupate de obiecte acvatice (iazuri, lacuri etc.) – 115 lei pentru 1 hectar de suprafaţă acvatică. </w:t>
      </w:r>
    </w:p>
    <w:p>
      <w:pPr>
        <w:pStyle w:val="6"/>
      </w:pPr>
      <w:r>
        <w:rPr>
          <w:b/>
          <w:bCs/>
        </w:rPr>
        <w:t>2.</w:t>
      </w:r>
      <w:r>
        <w:t xml:space="preserve"> Terenurile din intravilan: </w:t>
      </w:r>
    </w:p>
    <w:p>
      <w:pPr>
        <w:pStyle w:val="6"/>
      </w:pPr>
      <w:r>
        <w:t xml:space="preserve">a) terenurile pe care sînt amplasate fondul de locuinţe, loturile de pe lîngă domiciliu (inclusiv terenurile atribuite de către autoritatea administraţiei publice locale ca loturi de pe lîngă domiciliu şi distribuite în extravilan, din cauza insuficienţei de terenuri în intravilan): </w:t>
      </w:r>
    </w:p>
    <w:p>
      <w:pPr>
        <w:pStyle w:val="6"/>
      </w:pPr>
      <w:r>
        <w:t>1 leu pentru 100 m</w:t>
      </w:r>
      <w:r>
        <w:rPr>
          <w:vertAlign w:val="superscript"/>
        </w:rPr>
        <w:t>2</w:t>
      </w:r>
      <w:r>
        <w:t xml:space="preserve">; </w:t>
      </w:r>
    </w:p>
    <w:p>
      <w:pPr>
        <w:pStyle w:val="6"/>
      </w:pPr>
      <w:r>
        <w:t xml:space="preserve">b) terenurile destinate întreprinderilor agricole, alte terenuri neevaluate de către organele cadastrale teritoriale conform valorii estimate: </w:t>
      </w:r>
    </w:p>
    <w:p>
      <w:pPr>
        <w:pStyle w:val="6"/>
      </w:pPr>
      <w:r>
        <w:t>- 10 lei pentru 100 m</w:t>
      </w:r>
      <w:r>
        <w:rPr>
          <w:vertAlign w:val="superscript"/>
        </w:rPr>
        <w:t>2</w:t>
      </w:r>
      <w:r>
        <w:t xml:space="preserve">; </w:t>
      </w:r>
    </w:p>
    <w:p>
      <w:pPr>
        <w:pStyle w:val="6"/>
      </w:pPr>
      <w:r>
        <w:rPr>
          <w:b/>
          <w:bCs/>
        </w:rPr>
        <w:t>3.</w:t>
      </w:r>
      <w:r>
        <w:t xml:space="preserve"> Terenurile din extravilan, altele decît cele specificate la pct.5, neevaluate de către organele cadastrale teritoriale conform valorii estimate – 70 lei pentru 1 hectar.  </w:t>
      </w:r>
    </w:p>
    <w:p>
      <w:pPr>
        <w:pStyle w:val="6"/>
      </w:pPr>
      <w:r>
        <w:rPr>
          <w:b/>
          <w:bCs/>
        </w:rPr>
        <w:t>5.</w:t>
      </w:r>
      <w:r>
        <w:t xml:space="preserve"> Terenurile din extravilan pe care sînt amplasate clădiri şi construcţii, carierele şi pămînturile distruse în urma activităţii de producţie, neevaluate de către organele cadastrale teritoriale conform valorii estimate – 350 lei pentru 1 hectar. </w:t>
      </w:r>
    </w:p>
    <w:p>
      <w:pPr>
        <w:framePr w:hSpace="180" w:wrap="around" w:vAnchor="text" w:hAnchor="margin" w:x="67" w:y="240"/>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ro-RO"/>
        </w:rPr>
        <w:t>Cotele concrete la impozitul pe bunurile imobiliare</w:t>
      </w:r>
    </w:p>
    <w:p>
      <w:pPr>
        <w:framePr w:hSpace="180" w:wrap="around" w:vAnchor="text" w:hAnchor="margin" w:x="67" w:y="240"/>
        <w:rPr>
          <w:rFonts w:ascii="Times New Roman" w:hAnsi="Times New Roman" w:eastAsia="Times New Roman" w:cs="Times New Roman"/>
          <w:iCs/>
          <w:sz w:val="24"/>
          <w:szCs w:val="24"/>
          <w:lang w:val="en-US"/>
        </w:rPr>
      </w:pPr>
      <w:r>
        <w:rPr>
          <w:rFonts w:ascii="Times New Roman" w:hAnsi="Times New Roman" w:eastAsia="Times New Roman" w:cs="Times New Roman"/>
          <w:sz w:val="24"/>
          <w:szCs w:val="24"/>
          <w:lang w:val="ro-RO"/>
        </w:rPr>
        <w:t xml:space="preserve">pentru </w:t>
      </w:r>
      <w:r>
        <w:rPr>
          <w:rFonts w:ascii="Times New Roman" w:hAnsi="Times New Roman" w:eastAsia="Times New Roman" w:cs="Times New Roman"/>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r>
        <w:rPr>
          <w:rFonts w:ascii="Times New Roman" w:hAnsi="Times New Roman" w:eastAsia="Times New Roman" w:cs="Times New Roman"/>
          <w:iCs/>
          <w:sz w:val="24"/>
          <w:szCs w:val="24"/>
          <w:lang w:val="en-US"/>
        </w:rPr>
        <w:t xml:space="preserve"> </w:t>
      </w:r>
      <w:r>
        <w:rPr>
          <w:rFonts w:ascii="Times New Roman" w:hAnsi="Times New Roman" w:eastAsia="Times New Roman" w:cs="Times New Roman"/>
          <w:b/>
          <w:sz w:val="24"/>
          <w:szCs w:val="24"/>
          <w:lang w:val="ro-RO"/>
        </w:rPr>
        <w:t>neevaluate de către organele cadastrale în scopul impozitării</w:t>
      </w:r>
    </w:p>
    <w:p>
      <w:pPr>
        <w:pStyle w:val="6"/>
        <w:rPr>
          <w:i/>
          <w:lang w:eastAsia="ru-RU"/>
        </w:rPr>
      </w:pPr>
      <w:r>
        <w:rPr>
          <w:i/>
          <w:lang w:eastAsia="ru-RU"/>
        </w:rPr>
        <w:t>(conform Anexei.2 la Legea pentru punerea în aplicare a titlului VI din Codul fiscal nr.1056 din 16.06.2000):</w:t>
      </w:r>
    </w:p>
    <w:p>
      <w:pPr>
        <w:pStyle w:val="6"/>
        <w:rPr>
          <w:lang w:val="en-US" w:eastAsia="en-US"/>
        </w:rPr>
      </w:pPr>
      <w:r>
        <w:t> </w:t>
      </w:r>
      <w:r>
        <w:rPr>
          <w:b/>
          <w:bCs/>
          <w:lang w:val="en-US" w:eastAsia="en-US"/>
        </w:rPr>
        <w:t>1.</w:t>
      </w:r>
      <w:r>
        <w:rPr>
          <w:lang w:val="en-US" w:eastAsia="en-US"/>
        </w:rPr>
        <w:t xml:space="preserve"> Impozitul pe clădirile şi construcţiile cu destinaţie agricolă, precum şi pe alte bunuri imobiliare, </w:t>
      </w:r>
      <w:r>
        <w:rPr>
          <w:b/>
          <w:lang w:val="en-US" w:eastAsia="en-US"/>
        </w:rPr>
        <w:t>cu excepţia celor prevăzute la punctele 1</w:t>
      </w:r>
      <w:r>
        <w:rPr>
          <w:b/>
          <w:vertAlign w:val="superscript"/>
          <w:lang w:val="en-US" w:eastAsia="en-US"/>
        </w:rPr>
        <w:t>1</w:t>
      </w:r>
      <w:r>
        <w:rPr>
          <w:b/>
          <w:lang w:val="en-US" w:eastAsia="en-US"/>
        </w:rPr>
        <w:t xml:space="preserve"> şi 2</w:t>
      </w:r>
      <w:r>
        <w:rPr>
          <w:lang w:val="en-US" w:eastAsia="en-US"/>
        </w:rPr>
        <w:t>, neevaluate de către organele cadastrale teritoriale conform valorii estimate, se stabileşte după cum urmează:</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pentru persoanele juridice şi fizice care desfăşoară activitate de întreprinzător – 0,1 la sută din valoarea contabilă a bunurilor imobiliare pe perioada fiscală;</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pentru persoanele fizice, altele decît cele specificate la prima liniuţă – 0,1 la sută din costul bunurilor imobiliare.</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1</w:t>
      </w:r>
      <w:r>
        <w:rPr>
          <w:rFonts w:ascii="Times New Roman" w:hAnsi="Times New Roman" w:eastAsia="Times New Roman" w:cs="Times New Roman"/>
          <w:b/>
          <w:bCs/>
          <w:sz w:val="24"/>
          <w:szCs w:val="24"/>
          <w:vertAlign w:val="superscript"/>
          <w:lang w:val="en-US"/>
        </w:rPr>
        <w:t>1</w:t>
      </w:r>
      <w:r>
        <w:rPr>
          <w:rFonts w:ascii="Times New Roman" w:hAnsi="Times New Roman" w:eastAsia="Times New Roman" w:cs="Times New Roman"/>
          <w:b/>
          <w:bCs/>
          <w:sz w:val="24"/>
          <w:szCs w:val="24"/>
          <w:lang w:val="en-US"/>
        </w:rPr>
        <w:t>.</w:t>
      </w:r>
      <w:r>
        <w:rPr>
          <w:rFonts w:ascii="Times New Roman" w:hAnsi="Times New Roman" w:eastAsia="Times New Roman" w:cs="Times New Roman"/>
          <w:sz w:val="24"/>
          <w:szCs w:val="24"/>
          <w:lang w:val="en-US"/>
        </w:rPr>
        <w:t xml:space="preserve"> Impozitul pe bunurile imobiliare cu altă destinaţie decît cea locativă sau agricolă, inclusiv exceptînd garajele şi terenurile pe care acestea sînt amplasate şi loturile întovărăşirilor pomicole cu sau fără construcţii amplasate pe ele, neevaluate de către organele cadastrale teritoriale conform valorii estimate, se stabileşte după cum urmează:</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pentru persoanele juridice şi fizice care desfăşoară activitate de întreprinzător – 0,3 la sută din valoarea contabilă a bunurilor imobiliare pe perioada fiscală;</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pentru persoanele fizice altele decît cele specificate la prima liniuţă – 0,3 la sută din costul bunurilor imobiliare.</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2.</w:t>
      </w:r>
      <w:r>
        <w:rPr>
          <w:rFonts w:ascii="Times New Roman" w:hAnsi="Times New Roman" w:eastAsia="Times New Roman" w:cs="Times New Roman"/>
          <w:sz w:val="24"/>
          <w:szCs w:val="24"/>
          <w:lang w:val="en-US"/>
        </w:rPr>
        <w:t xml:space="preserve"> Impozitul pe bunurile imobiliare cu destinaţie locativă (apartamente şi case de locuit individuale) din localităţile rurale se stabileşte după cum urmează:</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pentru persoanele juridice şi fizice care desfăşoară activitate de întreprinzător – 0,1 la sută din valoarea contabilă a bunurilor imobiliare pe perioada fiscală;</w:t>
      </w:r>
    </w:p>
    <w:p>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pentru persoanele fizice, altele decît cele specificate la prima liniuţă – 0,1 la sută din costul bunurilor imobiliare.</w:t>
      </w:r>
    </w:p>
    <w:p>
      <w:pPr>
        <w:pStyle w:val="6"/>
      </w:pPr>
      <w:r>
        <w:rPr>
          <w:b/>
          <w:bCs/>
        </w:rPr>
        <w:t>Notă.</w:t>
      </w:r>
      <w:r>
        <w:t xml:space="preserve"> În cazurile în care suprafaţa totală a locuinţelor şi a construcţiilor principale ale persoanelor fizice care nu desfăşoară activitate de întreprinzător, înregistrate cu drept de proprietate, depăşeşte 100 m</w:t>
      </w:r>
      <w:r>
        <w:rPr>
          <w:vertAlign w:val="superscript"/>
        </w:rPr>
        <w:t>2</w:t>
      </w:r>
      <w:r>
        <w:t xml:space="preserve"> inclusiv, cotele concrete stabilite ale impozitului pe bunurile imobiliare se majorează în funcţie de suprafaţa totală, după cum urmează: </w:t>
      </w:r>
    </w:p>
    <w:p>
      <w:pPr>
        <w:pStyle w:val="6"/>
      </w:pPr>
      <w:r>
        <w:t>- de la 100 la 150 m</w:t>
      </w:r>
      <w:r>
        <w:rPr>
          <w:vertAlign w:val="superscript"/>
        </w:rPr>
        <w:t>2</w:t>
      </w:r>
      <w:r>
        <w:t xml:space="preserve"> inclusiv – de 1,5 ori; </w:t>
      </w:r>
    </w:p>
    <w:p>
      <w:pPr>
        <w:pStyle w:val="6"/>
      </w:pPr>
      <w:r>
        <w:t>- de la 150 la 200 m</w:t>
      </w:r>
      <w:r>
        <w:rPr>
          <w:vertAlign w:val="superscript"/>
        </w:rPr>
        <w:t>2</w:t>
      </w:r>
      <w:r>
        <w:t xml:space="preserve"> inclusiv – de 2 ori; </w:t>
      </w:r>
    </w:p>
    <w:p>
      <w:pPr>
        <w:pStyle w:val="6"/>
      </w:pPr>
      <w:r>
        <w:t>- de la 200 la 300 m</w:t>
      </w:r>
      <w:r>
        <w:rPr>
          <w:vertAlign w:val="superscript"/>
        </w:rPr>
        <w:t>2</w:t>
      </w:r>
      <w:r>
        <w:t xml:space="preserve"> inclusiv – de 10 ori;</w:t>
      </w:r>
    </w:p>
    <w:p>
      <w:pPr>
        <w:pStyle w:val="6"/>
      </w:pPr>
      <w:r>
        <w:t>- peste 300 m</w:t>
      </w:r>
      <w:r>
        <w:rPr>
          <w:vertAlign w:val="superscript"/>
        </w:rPr>
        <w:t>2</w:t>
      </w:r>
      <w:r>
        <w:t xml:space="preserve"> – de 15 ori. </w:t>
      </w:r>
    </w:p>
    <w:p>
      <w:pPr>
        <w:pStyle w:val="6"/>
      </w:pPr>
      <w:r>
        <w:t xml:space="preserve">Construcţie  principală – construcţie înregistrată cu drept de proprietate a persoanei fizice, care are destinaţie de locuinţă şi nu este antrenată în activitatea de întreprinzător. </w:t>
      </w:r>
    </w:p>
    <w:p>
      <w:pPr>
        <w:framePr w:hSpace="180" w:wrap="around" w:vAnchor="text" w:hAnchor="margin" w:x="67" w:y="240"/>
        <w:jc w:val="center"/>
        <w:rPr>
          <w:rFonts w:ascii="Times New Roman" w:hAnsi="Times New Roman" w:eastAsia="Times New Roman" w:cs="Times New Roman"/>
          <w:b/>
          <w:sz w:val="24"/>
          <w:szCs w:val="24"/>
          <w:lang w:val="ro-RO"/>
        </w:rPr>
      </w:pPr>
      <w:r>
        <w:rPr>
          <w:rFonts w:ascii="Times New Roman" w:hAnsi="Times New Roman" w:eastAsia="Times New Roman" w:cs="Times New Roman"/>
          <w:b/>
          <w:sz w:val="24"/>
          <w:szCs w:val="24"/>
          <w:lang w:val="ro-RO"/>
        </w:rPr>
        <w:t xml:space="preserve">Cotele concrete la impozitul pe bunurile imobiliare </w:t>
      </w:r>
    </w:p>
    <w:p>
      <w:pPr>
        <w:framePr w:hSpace="180" w:wrap="around" w:vAnchor="text" w:hAnchor="margin" w:x="67" w:y="240"/>
        <w:jc w:val="center"/>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pentru bunurile imobiliare evaluate de către organele cadastrale în scopul impozitării</w:t>
      </w:r>
    </w:p>
    <w:p>
      <w:pPr>
        <w:jc w:val="both"/>
        <w:rPr>
          <w:rFonts w:ascii="Times New Roman" w:hAnsi="Times New Roman" w:eastAsia="Times New Roman" w:cs="Times New Roman"/>
          <w:i/>
          <w:sz w:val="24"/>
          <w:szCs w:val="24"/>
          <w:lang w:val="ro-RO"/>
        </w:rPr>
      </w:pPr>
      <w:r>
        <w:rPr>
          <w:rFonts w:ascii="Times New Roman" w:hAnsi="Times New Roman" w:eastAsia="Times New Roman" w:cs="Times New Roman"/>
          <w:b/>
          <w:i/>
          <w:sz w:val="24"/>
          <w:szCs w:val="24"/>
          <w:lang w:val="ro-RO"/>
        </w:rPr>
        <w:t xml:space="preserve">( </w:t>
      </w:r>
      <w:r>
        <w:rPr>
          <w:rFonts w:ascii="Times New Roman" w:hAnsi="Times New Roman" w:eastAsia="Times New Roman" w:cs="Times New Roman"/>
          <w:i/>
          <w:sz w:val="24"/>
          <w:szCs w:val="24"/>
          <w:lang w:val="ro-RO"/>
        </w:rPr>
        <w:t>conform art. 280 din titlul VI al Codului fiscal):</w:t>
      </w:r>
    </w:p>
    <w:p>
      <w:pPr>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ro-RO" w:eastAsia="ro-RO"/>
        </w:rPr>
        <w:t xml:space="preserve">a) pentru bunurile imobiliare cu destinaţie locativă (apartamente şi case de locuit individuale, terenuri aferente acestor bunuri); pentru garajele şi terenurile pe care acestea sînt amplasate, loturile întovărăşirilor pomicole cu sau fără construcţii amplasate </w:t>
      </w:r>
      <w:r>
        <w:rPr>
          <w:rFonts w:ascii="Times New Roman" w:hAnsi="Times New Roman" w:eastAsia="Times New Roman" w:cs="Times New Roman"/>
          <w:sz w:val="24"/>
          <w:szCs w:val="24"/>
          <w:lang w:val="en-GB"/>
        </w:rPr>
        <w:t xml:space="preserve">pe ele: </w:t>
      </w:r>
    </w:p>
    <w:p>
      <w:pPr>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cota concretă – 0,4% din baza impozabilă a bunurilor imobiliare</w:t>
      </w:r>
    </w:p>
    <w:p>
      <w:pPr>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a</w:t>
      </w:r>
      <w:r>
        <w:rPr>
          <w:rFonts w:ascii="Times New Roman" w:hAnsi="Times New Roman" w:eastAsia="Times New Roman" w:cs="Times New Roman"/>
          <w:sz w:val="24"/>
          <w:szCs w:val="24"/>
          <w:vertAlign w:val="superscript"/>
          <w:lang w:val="en-GB"/>
        </w:rPr>
        <w:t>1</w:t>
      </w:r>
      <w:r>
        <w:rPr>
          <w:rFonts w:ascii="Times New Roman" w:hAnsi="Times New Roman" w:eastAsia="Times New Roman" w:cs="Times New Roman"/>
          <w:sz w:val="24"/>
          <w:szCs w:val="24"/>
          <w:lang w:val="en-GB"/>
        </w:rPr>
        <w:t xml:space="preserve">) pentru terenurile agricole cu construcţii amplasate pe ele: </w:t>
      </w:r>
    </w:p>
    <w:p>
      <w:pPr>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cota concretă – 0,3% din baza impozabilă a bunurilor imobiliare.</w:t>
      </w:r>
    </w:p>
    <w:p>
      <w:pPr>
        <w:spacing w:before="240"/>
        <w:jc w:val="both"/>
        <w:rPr>
          <w:rFonts w:ascii="Times New Roman" w:hAnsi="Times New Roman" w:eastAsia="Times New Roman" w:cs="Times New Roman"/>
          <w:b/>
          <w:sz w:val="24"/>
          <w:szCs w:val="24"/>
          <w:lang w:val="en-GB"/>
        </w:rPr>
      </w:pPr>
      <w:r>
        <w:rPr>
          <w:rFonts w:ascii="Times New Roman" w:hAnsi="Times New Roman" w:eastAsia="Times New Roman" w:cs="Times New Roman"/>
          <w:sz w:val="24"/>
          <w:szCs w:val="24"/>
          <w:lang w:val="en-GB"/>
        </w:rPr>
        <w:t>Categoriile de persoane indicate la art.283 alin (1) lit.h) 1 din Codul fiscal beneficiază de scutire de plata impozitului pe bunurile imobiliare pentru obiectele impuneriii cu destinație locativă,unde acestea și- au inregistrat domiciliul (în lipsa domiciliului – reședința ),</w:t>
      </w:r>
      <w:r>
        <w:rPr>
          <w:rFonts w:ascii="Times New Roman" w:hAnsi="Times New Roman" w:eastAsia="Times New Roman" w:cs="Times New Roman"/>
          <w:b/>
          <w:sz w:val="24"/>
          <w:szCs w:val="24"/>
          <w:lang w:val="en-GB"/>
        </w:rPr>
        <w:t>în limita valorii (costului) de 30000 lei.</w:t>
      </w:r>
    </w:p>
    <w:p>
      <w:pPr>
        <w:pStyle w:val="6"/>
        <w:tabs>
          <w:tab w:val="left" w:pos="1500"/>
          <w:tab w:val="right" w:pos="9355"/>
        </w:tabs>
        <w:ind w:firstLine="0"/>
        <w:jc w:val="left"/>
        <w:rPr>
          <w:lang w:val="en-GB"/>
        </w:rPr>
      </w:pPr>
    </w:p>
    <w:p>
      <w:pPr>
        <w:pStyle w:val="6"/>
        <w:tabs>
          <w:tab w:val="left" w:pos="1500"/>
          <w:tab w:val="right" w:pos="9355"/>
        </w:tabs>
        <w:ind w:firstLine="0"/>
        <w:jc w:val="left"/>
        <w:rPr>
          <w:b/>
        </w:rPr>
      </w:pPr>
      <w:r>
        <w:rPr>
          <w:b/>
        </w:rPr>
        <w:t>Perceptor fiscal                                                                                Indoitu Tatiana</w:t>
      </w:r>
    </w:p>
    <w:p>
      <w:pPr>
        <w:tabs>
          <w:tab w:val="left" w:pos="1051"/>
        </w:tabs>
        <w:rPr>
          <w:rFonts w:ascii="Times New Roman" w:hAnsi="Times New Roman" w:eastAsia="Times New Roman" w:cs="Times New Roman"/>
          <w:b/>
          <w:sz w:val="24"/>
          <w:szCs w:val="24"/>
          <w:lang w:val="ro-RO"/>
        </w:rPr>
      </w:pPr>
    </w:p>
    <w:p>
      <w:pPr>
        <w:tabs>
          <w:tab w:val="left" w:pos="1051"/>
        </w:tabs>
        <w:rPr>
          <w:rFonts w:ascii="Times New Roman" w:hAnsi="Times New Roman" w:cs="Times New Roman"/>
          <w:b/>
          <w:sz w:val="24"/>
          <w:szCs w:val="24"/>
          <w:lang w:val="ro-RO"/>
        </w:rPr>
      </w:pPr>
      <w:r>
        <w:rPr>
          <w:rFonts w:ascii="Times New Roman" w:hAnsi="Times New Roman" w:eastAsia="Times New Roman" w:cs="Times New Roman"/>
          <w:b/>
          <w:sz w:val="24"/>
          <w:szCs w:val="24"/>
          <w:lang w:val="ro-RO"/>
        </w:rPr>
        <w:t>Contrasemnat</w:t>
      </w:r>
      <w:r>
        <w:rPr>
          <w:rFonts w:ascii="Times New Roman" w:hAnsi="Times New Roman" w:cs="Times New Roman"/>
          <w:b/>
          <w:sz w:val="24"/>
          <w:szCs w:val="24"/>
          <w:lang w:val="ro-RO"/>
        </w:rPr>
        <w:t xml:space="preserve"> Secretarul  consiliului</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 xml:space="preserve">                         Moroi  Tatiana</w:t>
      </w:r>
    </w:p>
    <w:p>
      <w:pPr>
        <w:rPr>
          <w:rFonts w:ascii="Times New Roman" w:hAnsi="Times New Roman" w:cs="Times New Roman"/>
          <w:b/>
          <w:lang w:val="ro-RO"/>
        </w:rPr>
      </w:pPr>
    </w:p>
    <w:p>
      <w:pPr>
        <w:spacing w:before="240"/>
        <w:jc w:val="both"/>
      </w:pPr>
      <w:bookmarkStart w:id="0" w:name="_GoBack"/>
      <w:bookmarkEnd w:id="0"/>
    </w:p>
    <w:sectPr>
      <w:pgSz w:w="11906" w:h="16838"/>
      <w:pgMar w:top="284" w:right="850" w:bottom="142"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CC"/>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C07AC"/>
    <w:rsid w:val="1CF35183"/>
    <w:rsid w:val="1FCD4993"/>
    <w:rsid w:val="20DB396B"/>
    <w:rsid w:val="246D1CF2"/>
    <w:rsid w:val="2B92485C"/>
    <w:rsid w:val="2D4244C5"/>
    <w:rsid w:val="311927F4"/>
    <w:rsid w:val="46D73164"/>
    <w:rsid w:val="4A0E6047"/>
    <w:rsid w:val="5466179E"/>
    <w:rsid w:val="639D64B4"/>
    <w:rsid w:val="6AD3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6"/>
    <w:basedOn w:val="1"/>
    <w:next w:val="1"/>
    <w:semiHidden/>
    <w:unhideWhenUsed/>
    <w:qFormat/>
    <w:uiPriority w:val="0"/>
    <w:pPr>
      <w:keepNext/>
      <w:spacing w:after="0" w:line="240" w:lineRule="auto"/>
      <w:jc w:val="center"/>
      <w:outlineLvl w:val="5"/>
    </w:pPr>
    <w:rPr>
      <w:rFonts w:ascii="Times New Roman" w:hAnsi="Times New Roman" w:eastAsia="Times New Roman" w:cs="Times New Roman"/>
      <w:b/>
      <w:sz w:val="28"/>
      <w:szCs w:val="20"/>
      <w:lang w:val="ro-RO"/>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pPr>
      <w:spacing w:after="0" w:line="240" w:lineRule="auto"/>
    </w:pPr>
    <w:rPr>
      <w:rFonts w:ascii="Courier New" w:hAnsi="Courier New" w:eastAsia="Times New Roman" w:cs="Times New Roman"/>
      <w:sz w:val="20"/>
      <w:szCs w:val="20"/>
    </w:rPr>
  </w:style>
  <w:style w:type="paragraph" w:styleId="6">
    <w:name w:val="Normal (Web)"/>
    <w:basedOn w:val="1"/>
    <w:unhideWhenUsed/>
    <w:qFormat/>
    <w:uiPriority w:val="1"/>
    <w:pPr>
      <w:spacing w:after="0" w:line="240" w:lineRule="auto"/>
      <w:ind w:firstLine="567"/>
      <w:jc w:val="both"/>
    </w:pPr>
    <w:rPr>
      <w:rFonts w:ascii="Times New Roman" w:hAnsi="Times New Roman" w:eastAsia="Times New Roman" w:cs="Times New Roman"/>
      <w:sz w:val="24"/>
      <w:szCs w:val="24"/>
      <w:lang w:val="ro-RO" w:eastAsia="ro-RO"/>
    </w:r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2021-10-10T13:43:00Z</dcterms:created>
  <dc:creator>User</dc:creator>
  <cp:lastModifiedBy>User</cp:lastModifiedBy>
  <dcterms:modified xsi:type="dcterms:W3CDTF">2021-11-05T12:41:17Z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02BA0DD7678048A78355DA813C349012</vt:lpwstr>
  </property>
</Properties>
</file>